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TableGrid"/>
        <w:tblW w:w="9587" w:type="dxa"/>
        <w:jc w:val="left"/>
        <w:tblInd w:w="161" w:type="dxa"/>
        <w:tblCellMar>
          <w:top w:w="0" w:type="dxa"/>
          <w:left w:w="103" w:type="dxa"/>
          <w:bottom w:w="0" w:type="dxa"/>
          <w:right w:w="108" w:type="dxa"/>
        </w:tblCellMar>
        <w:tblLook w:firstRow="1" w:noVBand="1" w:lastRow="0" w:firstColumn="1" w:lastColumn="0" w:noHBand="0" w:val="04a0"/>
      </w:tblPr>
      <w:tblGrid>
        <w:gridCol w:w="3947"/>
        <w:gridCol w:w="1426"/>
        <w:gridCol w:w="4214"/>
      </w:tblGrid>
      <w:tr>
        <w:trPr>
          <w:trHeight w:val="1560" w:hRule="atLeast"/>
        </w:trPr>
        <w:tc>
          <w:tcPr>
            <w:tcW w:w="9587" w:type="dxa"/>
            <w:gridSpan w:val="3"/>
            <w:tcBorders/>
            <w:shd w:color="auto" w:fill="FFFFFF" w:themeFill="background1" w:val="clear"/>
            <w:tcMar>
              <w:left w:w="103" w:type="dxa"/>
            </w:tcMar>
            <w:vAlign w:val="center"/>
          </w:tcPr>
          <w:p>
            <w:pPr>
              <w:pStyle w:val="Normal"/>
              <w:pageBreakBefore/>
              <w:spacing w:lineRule="auto" w:line="240" w:before="0" w:after="0"/>
              <w:rPr>
                <w:rFonts w:ascii="Arial" w:hAnsi="Arial"/>
                <w:sz w:val="64"/>
                <w:szCs w:val="64"/>
              </w:rPr>
            </w:pPr>
            <w:r>
              <w:rPr>
                <w:rFonts w:ascii="Arial" w:hAnsi="Arial"/>
                <w:color w:val="808080" w:themeColor="background1" w:themeShade="80"/>
                <w:sz w:val="64"/>
                <w:szCs w:val="64"/>
              </w:rPr>
              <w:t>BULGARIA</w:t>
            </w:r>
          </w:p>
        </w:tc>
      </w:tr>
      <w:tr>
        <w:trPr/>
        <w:tc>
          <w:tcPr>
            <w:tcW w:w="3947" w:type="dxa"/>
            <w:tcBorders>
              <w:top w:val="nil"/>
              <w:right w:val="nil"/>
              <w:insideV w:val="nil"/>
            </w:tcBorders>
            <w:shd w:fill="auto" w:val="clear"/>
            <w:tcMar>
              <w:left w:w="103" w:type="dxa"/>
            </w:tcMar>
          </w:tcPr>
          <w:p>
            <w:pPr>
              <w:pStyle w:val="Normal"/>
              <w:spacing w:lineRule="auto" w:line="240" w:before="120" w:after="0"/>
              <w:jc w:val="center"/>
              <w:rPr>
                <w:rFonts w:ascii="Arial" w:hAnsi="Arial"/>
              </w:rPr>
            </w:pPr>
            <w:r>
              <w:rPr>
                <w:rFonts w:cs="Arial" w:ascii="Arial" w:hAnsi="Arial"/>
                <w:b/>
                <w:color w:val="808080" w:themeColor="background1" w:themeShade="80"/>
                <w:sz w:val="20"/>
                <w:szCs w:val="20"/>
              </w:rPr>
              <w:t>COMMITMENTS</w:t>
            </w:r>
          </w:p>
        </w:tc>
        <w:tc>
          <w:tcPr>
            <w:tcW w:w="1426" w:type="dxa"/>
            <w:tcBorders>
              <w:top w:val="nil"/>
              <w:right w:val="nil"/>
              <w:insideV w:val="nil"/>
            </w:tcBorders>
            <w:shd w:fill="auto" w:val="clear"/>
            <w:tcMar>
              <w:left w:w="103" w:type="dxa"/>
            </w:tcMar>
          </w:tcPr>
          <w:p>
            <w:pPr>
              <w:pStyle w:val="Normal"/>
              <w:spacing w:lineRule="auto" w:line="240" w:before="120" w:after="0"/>
              <w:jc w:val="center"/>
              <w:rPr>
                <w:rFonts w:ascii="Arial" w:hAnsi="Arial"/>
              </w:rPr>
            </w:pPr>
            <w:r>
              <w:rPr>
                <w:rFonts w:cs="Arial" w:ascii="Arial" w:hAnsi="Arial"/>
                <w:b/>
                <w:color w:val="808080" w:themeColor="background1" w:themeShade="80"/>
                <w:sz w:val="20"/>
                <w:szCs w:val="20"/>
              </w:rPr>
              <w:t>PROGRESS</w:t>
            </w:r>
          </w:p>
        </w:tc>
        <w:tc>
          <w:tcPr>
            <w:tcW w:w="4214" w:type="dxa"/>
            <w:tcBorders>
              <w:top w:val="nil"/>
            </w:tcBorders>
            <w:shd w:fill="auto" w:val="clear"/>
            <w:tcMar>
              <w:left w:w="103" w:type="dxa"/>
            </w:tcMar>
          </w:tcPr>
          <w:p>
            <w:pPr>
              <w:pStyle w:val="Normal"/>
              <w:spacing w:lineRule="auto" w:line="240" w:before="120" w:after="0"/>
              <w:jc w:val="center"/>
              <w:rPr>
                <w:rFonts w:ascii="Arial" w:hAnsi="Arial"/>
              </w:rPr>
            </w:pPr>
            <w:r>
              <w:rPr>
                <w:rFonts w:cs="Arial" w:ascii="Arial" w:hAnsi="Arial"/>
                <w:b/>
                <w:color w:val="808080" w:themeColor="background1" w:themeShade="80"/>
                <w:sz w:val="20"/>
                <w:szCs w:val="20"/>
              </w:rPr>
              <w:t>COMMENTS</w:t>
            </w:r>
          </w:p>
        </w:tc>
      </w:tr>
      <w:tr>
        <w:trPr/>
        <w:tc>
          <w:tcPr>
            <w:tcW w:w="3947" w:type="dxa"/>
            <w:tcBorders>
              <w:top w:val="nil"/>
              <w:right w:val="nil"/>
              <w:insideV w:val="nil"/>
            </w:tcBorders>
            <w:shd w:fill="auto" w:val="clear"/>
            <w:tcMar>
              <w:left w:w="103" w:type="dxa"/>
            </w:tcMar>
          </w:tcPr>
          <w:p>
            <w:pPr>
              <w:pStyle w:val="Normal"/>
              <w:spacing w:lineRule="auto" w:line="240" w:before="283" w:after="283"/>
              <w:rPr/>
            </w:pPr>
            <w:r>
              <w:rPr>
                <w:rFonts w:cs="Arial" w:ascii="Arial" w:hAnsi="Arial"/>
              </w:rPr>
              <w:t>Expose illicit financial flows through lifting the veil of secrecy over who owns and controls companies. It already has made public its registry for companies registered under its own jurisdiction and supports internationally recognised measures that ensure accurate and timely information on foreign-registered beneficial ownership is made available to all those who need it.</w:t>
            </w:r>
          </w:p>
        </w:tc>
        <w:tc>
          <w:tcPr>
            <w:tcW w:w="1426" w:type="dxa"/>
            <w:tcBorders>
              <w:top w:val="nil"/>
              <w:right w:val="nil"/>
              <w:insideV w:val="nil"/>
            </w:tcBorders>
            <w:shd w:fill="auto" w:val="clear"/>
            <w:tcMar>
              <w:left w:w="103" w:type="dxa"/>
            </w:tcMar>
          </w:tcPr>
          <w:p>
            <w:pPr>
              <w:pStyle w:val="Normal"/>
              <w:spacing w:lineRule="auto" w:line="240" w:before="120" w:after="0"/>
              <w:rPr>
                <w:rFonts w:ascii="Arial" w:hAnsi="Arial" w:cs="Arial"/>
              </w:rPr>
            </w:pPr>
            <w:r>
              <w:rPr>
                <w:rFonts w:cs="Arial" w:ascii="Arial" w:hAnsi="Arial"/>
              </w:rPr>
            </w:r>
          </w:p>
        </w:tc>
        <w:tc>
          <w:tcPr>
            <w:tcW w:w="4214" w:type="dxa"/>
            <w:tcBorders>
              <w:top w:val="nil"/>
            </w:tcBorders>
            <w:shd w:fill="auto" w:val="clear"/>
            <w:tcMar>
              <w:left w:w="103" w:type="dxa"/>
            </w:tcMar>
          </w:tcPr>
          <w:p>
            <w:pPr>
              <w:pStyle w:val="Normal"/>
              <w:spacing w:lineRule="auto" w:line="240" w:before="120" w:after="0"/>
              <w:rPr>
                <w:rFonts w:ascii="Arial" w:hAnsi="Arial" w:cs="Arial"/>
              </w:rPr>
            </w:pPr>
            <w:r>
              <w:rPr>
                <w:rFonts w:cs="Arial" w:ascii="Arial" w:hAnsi="Arial"/>
              </w:rPr>
            </w:r>
          </w:p>
        </w:tc>
      </w:tr>
      <w:tr>
        <w:trPr/>
        <w:tc>
          <w:tcPr>
            <w:tcW w:w="3947" w:type="dxa"/>
            <w:tcBorders>
              <w:top w:val="nil"/>
              <w:right w:val="nil"/>
              <w:insideV w:val="nil"/>
            </w:tcBorders>
            <w:shd w:fill="auto" w:val="clear"/>
            <w:tcMar>
              <w:left w:w="103" w:type="dxa"/>
            </w:tcMar>
          </w:tcPr>
          <w:p>
            <w:pPr>
              <w:pStyle w:val="Normal"/>
              <w:spacing w:lineRule="auto" w:line="240" w:before="283" w:after="283"/>
              <w:rPr/>
            </w:pPr>
            <w:r>
              <w:rPr>
                <w:rFonts w:cs="Arial" w:ascii="Arial" w:hAnsi="Arial"/>
              </w:rPr>
              <w:t xml:space="preserve">Activly investigating the link between corruption and organised crime. </w:t>
            </w:r>
          </w:p>
        </w:tc>
        <w:tc>
          <w:tcPr>
            <w:tcW w:w="1426" w:type="dxa"/>
            <w:tcBorders>
              <w:top w:val="nil"/>
              <w:right w:val="nil"/>
              <w:insideV w:val="nil"/>
            </w:tcBorders>
            <w:shd w:fill="auto" w:val="clear"/>
            <w:tcMar>
              <w:left w:w="103" w:type="dxa"/>
            </w:tcMar>
          </w:tcPr>
          <w:p>
            <w:pPr>
              <w:pStyle w:val="Normal"/>
              <w:spacing w:lineRule="auto" w:line="240" w:before="120" w:after="0"/>
              <w:rPr>
                <w:rFonts w:ascii="Arial" w:hAnsi="Arial" w:cs="Arial"/>
              </w:rPr>
            </w:pPr>
            <w:r>
              <w:rPr>
                <w:rFonts w:cs="Arial" w:ascii="Arial" w:hAnsi="Arial"/>
              </w:rPr>
            </w:r>
          </w:p>
        </w:tc>
        <w:tc>
          <w:tcPr>
            <w:tcW w:w="4214" w:type="dxa"/>
            <w:tcBorders>
              <w:top w:val="nil"/>
            </w:tcBorders>
            <w:shd w:fill="auto" w:val="clear"/>
            <w:tcMar>
              <w:left w:w="103" w:type="dxa"/>
            </w:tcMar>
          </w:tcPr>
          <w:p>
            <w:pPr>
              <w:pStyle w:val="Normal"/>
              <w:spacing w:lineRule="auto" w:line="240" w:before="120" w:after="0"/>
              <w:rPr>
                <w:rFonts w:ascii="Arial" w:hAnsi="Arial" w:cs="Arial"/>
              </w:rPr>
            </w:pPr>
            <w:r>
              <w:rPr>
                <w:rFonts w:cs="Arial" w:ascii="Arial" w:hAnsi="Arial"/>
              </w:rPr>
            </w:r>
          </w:p>
        </w:tc>
      </w:tr>
      <w:tr>
        <w:trPr/>
        <w:tc>
          <w:tcPr>
            <w:tcW w:w="3947" w:type="dxa"/>
            <w:tcBorders>
              <w:top w:val="nil"/>
              <w:right w:val="nil"/>
              <w:insideV w:val="nil"/>
            </w:tcBorders>
            <w:shd w:fill="auto" w:val="clear"/>
            <w:tcMar>
              <w:left w:w="103" w:type="dxa"/>
            </w:tcMar>
          </w:tcPr>
          <w:p>
            <w:pPr>
              <w:pStyle w:val="Normal"/>
              <w:spacing w:lineRule="auto" w:line="240" w:before="283" w:after="283"/>
              <w:rPr/>
            </w:pPr>
            <w:r>
              <w:rPr>
                <w:rFonts w:cs="Arial" w:ascii="Arial" w:hAnsi="Arial"/>
              </w:rPr>
              <w:t>Welcomes the establishment of an International Anti-Corruption Law Centre which will work closely with relevant international organisations, Financial Intelligence Units and support countries that have suffered from grand corruption. Bulgaria undertakes to shore up support for the addition of high-profile organised criminals to the scope of the proposed work of the Centre.</w:t>
            </w:r>
          </w:p>
        </w:tc>
        <w:tc>
          <w:tcPr>
            <w:tcW w:w="1426" w:type="dxa"/>
            <w:tcBorders>
              <w:top w:val="nil"/>
              <w:right w:val="nil"/>
              <w:insideV w:val="nil"/>
            </w:tcBorders>
            <w:shd w:fill="auto" w:val="clear"/>
            <w:tcMar>
              <w:left w:w="103" w:type="dxa"/>
            </w:tcMar>
          </w:tcPr>
          <w:p>
            <w:pPr>
              <w:pStyle w:val="Normal"/>
              <w:spacing w:lineRule="auto" w:line="240" w:before="120" w:after="0"/>
              <w:rPr>
                <w:rFonts w:ascii="Arial" w:hAnsi="Arial" w:cs="Arial"/>
              </w:rPr>
            </w:pPr>
            <w:r>
              <w:rPr>
                <w:rFonts w:cs="Arial" w:ascii="Arial" w:hAnsi="Arial"/>
              </w:rPr>
            </w:r>
          </w:p>
        </w:tc>
        <w:tc>
          <w:tcPr>
            <w:tcW w:w="4214" w:type="dxa"/>
            <w:tcBorders>
              <w:top w:val="nil"/>
            </w:tcBorders>
            <w:shd w:fill="auto" w:val="clear"/>
            <w:tcMar>
              <w:left w:w="103" w:type="dxa"/>
            </w:tcMar>
          </w:tcPr>
          <w:p>
            <w:pPr>
              <w:pStyle w:val="Normal"/>
              <w:spacing w:lineRule="auto" w:line="240" w:before="120" w:after="0"/>
              <w:rPr>
                <w:rFonts w:ascii="Arial" w:hAnsi="Arial" w:cs="Arial"/>
              </w:rPr>
            </w:pPr>
            <w:r>
              <w:rPr>
                <w:rFonts w:cs="Arial" w:ascii="Arial" w:hAnsi="Arial"/>
              </w:rPr>
            </w:r>
          </w:p>
        </w:tc>
      </w:tr>
      <w:tr>
        <w:trPr/>
        <w:tc>
          <w:tcPr>
            <w:tcW w:w="3947" w:type="dxa"/>
            <w:tcBorders>
              <w:top w:val="nil"/>
              <w:right w:val="nil"/>
              <w:insideV w:val="nil"/>
            </w:tcBorders>
            <w:shd w:fill="auto" w:val="clear"/>
            <w:tcMar>
              <w:left w:w="103" w:type="dxa"/>
            </w:tcMar>
          </w:tcPr>
          <w:p>
            <w:pPr>
              <w:pStyle w:val="Normal"/>
              <w:spacing w:lineRule="auto" w:line="240" w:before="283" w:after="283"/>
              <w:rPr/>
            </w:pPr>
            <w:r>
              <w:rPr>
                <w:rFonts w:cs="Arial" w:ascii="Arial" w:hAnsi="Arial"/>
              </w:rPr>
              <w:t>Uncover, seize and return the proceeds of corruption to their legitimate owners. Bulgaria’s Commission for the Withdrawal of Criminal Assets has gained strength and considerable experience in recovering and confiscating illicit proceeds and will benefit from its proposed inclusion in a new powerful Anti-corruption Bureau proposed under the Draft Corruption Prevention and Confiscation of Criminal Assets Act. The draft Law focuses on cases of unexplained wealth and allows for the reversal of burden of proof.</w:t>
            </w:r>
          </w:p>
        </w:tc>
        <w:tc>
          <w:tcPr>
            <w:tcW w:w="1426" w:type="dxa"/>
            <w:tcBorders>
              <w:top w:val="nil"/>
              <w:right w:val="nil"/>
              <w:insideV w:val="nil"/>
            </w:tcBorders>
            <w:shd w:fill="auto" w:val="clear"/>
            <w:tcMar>
              <w:left w:w="103" w:type="dxa"/>
            </w:tcMar>
          </w:tcPr>
          <w:p>
            <w:pPr>
              <w:pStyle w:val="Normal"/>
              <w:spacing w:lineRule="auto" w:line="240" w:before="120" w:after="0"/>
              <w:rPr>
                <w:rFonts w:ascii="Arial" w:hAnsi="Arial" w:cs="Arial"/>
              </w:rPr>
            </w:pPr>
            <w:r>
              <w:rPr>
                <w:rFonts w:cs="Arial" w:ascii="Arial" w:hAnsi="Arial"/>
              </w:rPr>
            </w:r>
          </w:p>
        </w:tc>
        <w:tc>
          <w:tcPr>
            <w:tcW w:w="4214" w:type="dxa"/>
            <w:tcBorders>
              <w:top w:val="nil"/>
            </w:tcBorders>
            <w:shd w:fill="auto" w:val="clear"/>
            <w:tcMar>
              <w:left w:w="103" w:type="dxa"/>
            </w:tcMar>
          </w:tcPr>
          <w:p>
            <w:pPr>
              <w:pStyle w:val="Normal"/>
              <w:spacing w:lineRule="auto" w:line="240" w:before="120" w:after="0"/>
              <w:rPr>
                <w:rFonts w:ascii="Arial" w:hAnsi="Arial" w:cs="Arial"/>
              </w:rPr>
            </w:pPr>
            <w:r>
              <w:rPr>
                <w:rFonts w:cs="Arial" w:ascii="Arial" w:hAnsi="Arial"/>
              </w:rPr>
            </w:r>
          </w:p>
        </w:tc>
      </w:tr>
      <w:tr>
        <w:trPr/>
        <w:tc>
          <w:tcPr>
            <w:tcW w:w="3947" w:type="dxa"/>
            <w:tcBorders>
              <w:top w:val="nil"/>
              <w:right w:val="nil"/>
              <w:insideV w:val="nil"/>
            </w:tcBorders>
            <w:shd w:fill="auto" w:val="clear"/>
            <w:tcMar>
              <w:left w:w="103" w:type="dxa"/>
            </w:tcMar>
          </w:tcPr>
          <w:p>
            <w:pPr>
              <w:pStyle w:val="Normal"/>
              <w:spacing w:lineRule="auto" w:line="240" w:before="283" w:after="283"/>
              <w:rPr/>
            </w:pPr>
            <w:r>
              <w:rPr>
                <w:rFonts w:cs="Arial" w:ascii="Arial" w:hAnsi="Arial"/>
              </w:rPr>
              <w:t>Provide technical assistance and expertise on asset recovery and welcomes international cooperation on transparent and accountable management of returned assets.</w:t>
            </w:r>
          </w:p>
        </w:tc>
        <w:tc>
          <w:tcPr>
            <w:tcW w:w="1426" w:type="dxa"/>
            <w:tcBorders>
              <w:top w:val="nil"/>
              <w:right w:val="nil"/>
              <w:insideV w:val="nil"/>
            </w:tcBorders>
            <w:shd w:fill="auto" w:val="clear"/>
            <w:tcMar>
              <w:left w:w="103" w:type="dxa"/>
            </w:tcMar>
          </w:tcPr>
          <w:p>
            <w:pPr>
              <w:pStyle w:val="Normal"/>
              <w:spacing w:lineRule="auto" w:line="240" w:before="120" w:after="0"/>
              <w:rPr>
                <w:rFonts w:ascii="Arial" w:hAnsi="Arial" w:cs="Arial"/>
              </w:rPr>
            </w:pPr>
            <w:r>
              <w:rPr>
                <w:rFonts w:cs="Arial" w:ascii="Arial" w:hAnsi="Arial"/>
              </w:rPr>
            </w:r>
          </w:p>
        </w:tc>
        <w:tc>
          <w:tcPr>
            <w:tcW w:w="4214" w:type="dxa"/>
            <w:tcBorders>
              <w:top w:val="nil"/>
            </w:tcBorders>
            <w:shd w:fill="auto" w:val="clear"/>
            <w:tcMar>
              <w:left w:w="103" w:type="dxa"/>
            </w:tcMar>
          </w:tcPr>
          <w:p>
            <w:pPr>
              <w:pStyle w:val="Normal"/>
              <w:spacing w:lineRule="auto" w:line="240" w:before="120" w:after="0"/>
              <w:rPr>
                <w:rFonts w:ascii="Arial" w:hAnsi="Arial" w:cs="Arial"/>
              </w:rPr>
            </w:pPr>
            <w:r>
              <w:rPr>
                <w:rFonts w:cs="Arial" w:ascii="Arial" w:hAnsi="Arial"/>
              </w:rPr>
            </w:r>
          </w:p>
        </w:tc>
      </w:tr>
    </w:tbl>
    <w:p>
      <w:pPr>
        <w:pStyle w:val="Normal"/>
        <w:rPr/>
      </w:pPr>
      <w:r>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 w:name="Arial">
    <w:charset w:val="01"/>
    <w:family w:val="swiss"/>
    <w:pitch w:val="variable"/>
  </w:font>
  <w:font w:name="Arial">
    <w:charset w:val="00"/>
    <w:family w:val="roman"/>
    <w:pitch w:val="variable"/>
  </w:font>
</w:fonts>
</file>

<file path=word/settings.xml><?xml version="1.0" encoding="utf-8"?>
<w:settings xmlns:w="http://schemas.openxmlformats.org/wordprocessingml/2006/main">
  <w:zoom w:percent="9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 w:val="24"/>
        <w:szCs w:val="24"/>
        <w:lang w:val="en-GB" w:eastAsia="zh-CN" w:bidi="hi-IN"/>
      </w:rPr>
    </w:rPrDefault>
    <w:pPrDefault>
      <w:pPr>
        <w:widowControl/>
      </w:pPr>
    </w:pPrDefault>
  </w:docDefaults>
  <w:style w:type="paragraph" w:styleId="Normal">
    <w:name w:val="Normal"/>
    <w:qFormat/>
    <w:pPr>
      <w:widowControl/>
    </w:pPr>
    <w:rPr>
      <w:rFonts w:ascii="Liberation Serif" w:hAnsi="Liberation Serif" w:eastAsia="SimSun" w:cs="Lucida Sans"/>
      <w:color w:val="auto"/>
      <w:sz w:val="24"/>
      <w:szCs w:val="24"/>
      <w:lang w:val="en-GB" w:eastAsia="zh-CN" w:bidi="hi-IN"/>
    </w:rPr>
  </w:style>
  <w:style w:type="paragraph" w:styleId="Heading">
    <w:name w:val="Heading"/>
    <w:basedOn w:val="Normal"/>
    <w:next w:val="TextBody"/>
    <w:qFormat/>
    <w:pPr>
      <w:keepNext/>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TotalTime>
  <Application>LibreOffice/5.1.6.2$Windows_x86 LibreOffice_project/07ac168c60a517dba0f0d7bc7540f5afa45f0909</Application>
  <Pages>2</Pages>
  <Words>214</Words>
  <Characters>1323</Characters>
  <CharactersWithSpaces>1529</CharactersWithSpaces>
  <Paragraphs>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2017-01-10T14:08:25Z</dcterms:created>
  <dc:creator/>
  <dc:description/>
  <dc:language>en-GB</dc:language>
  <cp:lastModifiedBy/>
  <dcterms:modified xsi:type="dcterms:W3CDTF">2017-01-10T14:12:17Z</dcterms:modified>
  <cp:revision>2</cp:revision>
  <dc:subject/>
  <dc:title/>
</cp:coreProperties>
</file>