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61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47"/>
        <w:gridCol w:w="1426"/>
        <w:gridCol w:w="4214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283" w:after="283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CHINA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Deny safe haven to those engaged in corruption through extradition, mutual legal assistance, and the recovery and return of proceeds of corruption.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Subject to domestic laws, strengthen information sharing with international communities concerning cross-border movements of public official engaged in corruption and their illicitly acquired assets, as an effort to help expose corruption, bribery and illicit financial flows to the utmost extent.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Actively sign and conclude bilateral treaties on extradition and mutual legal assistance in criminal matters, striving to expedite international cooperation in the prevention, investigation, prosecution, and punishment of corruption offences.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4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Adopt more flexible approaches enabled by domestic legislation for recovery of proceeds of corruption</w:t>
            </w:r>
            <w:r>
              <w:rPr>
                <w:rFonts w:eastAsia="MS Gothic" w:cs="MS Gothic" w:ascii="MS Gothic" w:hAnsi="MS Gothic"/>
              </w:rPr>
              <w:t>,</w:t>
            </w:r>
            <w:r>
              <w:rPr>
                <w:rFonts w:cs="Arial" w:ascii="Arial" w:hAnsi="Arial"/>
              </w:rPr>
              <w:t>including mutually recognition and enforcement of non-conviction based forfeiture orders.</w:t>
            </w:r>
          </w:p>
        </w:tc>
        <w:tc>
          <w:tcPr>
            <w:tcW w:w="1426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14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LibreOffice/5.1.6.2$Windows_x86 LibreOffice_project/07ac168c60a517dba0f0d7bc7540f5afa45f0909</Application>
  <Pages>1</Pages>
  <Words>119</Words>
  <Characters>798</Characters>
  <CharactersWithSpaces>909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2017-01-10T14:16:22Z</dcterms:created>
  <dc:creator/>
  <dc:description/>
  <dc:language>en-GB</dc:language>
  <cp:lastModifiedBy/>
  <dcterms:modified xsi:type="dcterms:W3CDTF">2017-01-10T14:19:10Z</dcterms:modified>
  <cp:revision>2</cp:revision>
  <dc:subject/>
  <dc:title/>
</cp:coreProperties>
</file>