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COLO</w:t>
            </w:r>
            <w:bookmarkStart w:id="0" w:name="_GoBack"/>
            <w:bookmarkEnd w:id="0"/>
            <w:r>
              <w:rPr>
                <w:rFonts w:ascii="Arial" w:hAnsi="Arial"/>
                <w:color w:val="808080" w:themeColor="background1" w:themeShade="80"/>
                <w:sz w:val="64"/>
                <w:szCs w:val="64"/>
              </w:rPr>
              <w:t>MBIA</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following the Financial Action Task Force standards for anti-money laundering and counter terrorist financing and work with FATF to identify and overcome barriers to information sharing across international boundaries, particularly within the financial sector.</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 effective information sharing between law enforcement, regulators and the financial sector to identify and disrupt complex global money laundering schemes.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Actively collaborate with and participate in initiatives led by the Egmont network of Financial Intelligence Units (FUIs).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Create a Central Registry of Beneficial Ownership of National Companies, including those whose parent companies or investment legal arrangements are domiciled offshore, with effective and unrestricted access for local and foreign law enforcement authorities.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Facilitate access to local and foreign law enforcement authorities on beneficial ownership information with the necessary measures aimed at preventing targeted companies, investment legal arrangements and individuals from being alerted of ongoing investigations.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Participate in the Global Beneficial Ownership Register with the information collected in public procurement platforms.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Constantly review its legislation and its recovery-of-assets performance and to find opportunities to improve existing procedures and legislation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 the development of non-binding guidelines for returning assets within Colombia and from Colombia; to follow such guidelines; and to partner with UNODC in order to issue internal procedures thereof.</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Participate in Asset Recovery Forums aimed at ramping up asset recovery efforts at a global level, including the Global Forum for Asset Recovery taking place in 2017.</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LibreOffice/5.1.6.2$Windows_x86 LibreOffice_project/07ac168c60a517dba0f0d7bc7540f5afa45f0909</Application>
  <Pages>2</Pages>
  <Words>234</Words>
  <Characters>1523</Characters>
  <CharactersWithSpaces>1744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2017-01-10T14:19:39Z</dcterms:created>
  <dc:creator/>
  <dc:description/>
  <dc:language>en-GB</dc:language>
  <cp:lastModifiedBy/>
  <dcterms:modified xsi:type="dcterms:W3CDTF">2017-01-10T14:22:41Z</dcterms:modified>
  <cp:revision>2</cp:revision>
  <dc:subject/>
  <dc:title/>
</cp:coreProperties>
</file>