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GHANA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further both the Companies Bill and the Petroleum (Exploration and Production) Bill that are currently before Parliament to ensure that we have public beneficial ownership information and central register for all sectors including oil and gas sector, in line with UNCAC and FATF Recommendations as well as the Extractive Industries Transparency Initiative (EITI) standards that Ghana is implementing.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accurate and timely company beneficial ownership information, including in the extractives, is available and accessible to the public.</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Ghana is strengthening measures to combat money laundering and countering financing of terrorism, corruption and other predicate offences. Ghana commits to implementing the recommendations contained in the National Risk Assessment Report of Anti-Money Laundering and Countering the Financing of Terrorism (AML/CFT), launched in Accra on 28</w:t>
            </w:r>
            <w:r>
              <w:rPr>
                <w:rFonts w:cs="Arial" w:ascii="Arial" w:hAnsi="Arial"/>
                <w:vertAlign w:val="superscript"/>
              </w:rPr>
              <w:t>th</w:t>
            </w:r>
            <w:r>
              <w:rPr>
                <w:rFonts w:cs="Arial" w:ascii="Arial" w:hAnsi="Arial"/>
              </w:rPr>
              <w:t xml:space="preserve"> April 2016, as soon as the implementation plan is validated.</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further its asset recovery capability, including by amending relevant legislation and introducing unexplained wealth orders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possibility of expanding the scope of its non-conviction based forfeiture legislation and adopt measures to manage and regulate the administration of frozen, seized or confiscated property.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184</Words>
  <Characters>1164</Characters>
  <CharactersWithSpaces>1339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2017-01-10T14:32:03Z</dcterms:created>
  <dc:creator/>
  <dc:description/>
  <dc:language>en-GB</dc:language>
  <cp:lastModifiedBy/>
  <dcterms:modified xsi:type="dcterms:W3CDTF">2017-01-10T14:33:54Z</dcterms:modified>
  <cp:revision>2</cp:revision>
  <dc:subject/>
  <dc:title/>
</cp:coreProperties>
</file>