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spacing w:lineRule="auto" w:line="240" w:before="0" w:after="0"/>
              <w:rPr>
                <w:rFonts w:ascii="Arial" w:hAnsi="Arial"/>
                <w:sz w:val="64"/>
                <w:szCs w:val="64"/>
              </w:rPr>
            </w:pPr>
            <w:r>
              <w:rPr>
                <w:rFonts w:ascii="Arial" w:hAnsi="Arial"/>
                <w:color w:val="808080" w:themeColor="background1" w:themeShade="80"/>
                <w:sz w:val="64"/>
                <w:szCs w:val="64"/>
              </w:rPr>
              <w:t>INDIA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Strengthen asset recovery legislation, including through non-conviction based confiscation powers and the introduction of unexplained wealth orders.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Provide  technical assistance to Member States in the areas of Legislative Drafting, Investigation process, legal academics, in its premier training institutes and build capacities for the global community.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Implement   the   Financial   Action   Task   Force (FATF) recommendations   to   ensure   accurate   and   timely   beneficial   ownership   information   is available  and  fully  accessible  to  detect  and  fight  corruption.  We  would  also  support automatic exchange of beneficial ownership information and call upon more countries to join and  maximize  transparency and  explore  ways  of  sharing  information  on  corrupt  bidders across  borders.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 xml:space="preserve">Committed on the issue of return of unaccounted wealth from safe havens and for persistent and consistent efforts on asset recovery.  </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LibreOffice/5.1.6.2$Windows_x86 LibreOffice_project/07ac168c60a517dba0f0d7bc7540f5afa45f0909</Application>
  <Pages>1</Pages>
  <Words>127</Words>
  <Characters>806</Characters>
  <CharactersWithSpaces>979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2017-01-10T14:43:26Z</dcterms:created>
  <dc:creator/>
  <dc:description/>
  <dc:language>en-GB</dc:language>
  <cp:lastModifiedBy/>
  <dcterms:modified xsi:type="dcterms:W3CDTF">2017-01-10T14:47:13Z</dcterms:modified>
  <cp:revision>2</cp:revision>
  <dc:subject/>
  <dc:title/>
</cp:coreProperties>
</file>