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INDONESIA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Improve the transparency of the beneficial ownership of legal persons and legal arrangements to prevent misuse of these entities and arrangements for corruption, tax evasion, terrorist financing and money laundering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Explore the establishment of public central registers of company beneficial ownership information.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Deploy public-private information sharing partnerships to bring together governments, law enforcement, regulators and the financial sector to detect, prevent and disrupt money laundering linked to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Participate in the second review cycle of the implementation of Chapter V on Asset Recovery of the United Nations Convention Against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Afford one another the widest measures of cooperation and assistance in asset recovery.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Strengthen the Stolen Asset Recovery Initiative (StAR) in support of countries’ efforts to recover and return stolen assets.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1</Pages>
  <Words>125</Words>
  <Characters>797</Characters>
  <CharactersWithSpaces>912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2017-01-10T14:45:10Z</dcterms:created>
  <dc:creator/>
  <dc:description/>
  <dc:language>en-GB</dc:language>
  <cp:lastModifiedBy/>
  <dcterms:modified xsi:type="dcterms:W3CDTF">2017-01-10T14:46:43Z</dcterms:modified>
  <cp:revision>2</cp:revision>
  <dc:subject/>
  <dc:title/>
</cp:coreProperties>
</file>