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640" w:type="dxa"/>
        <w:jc w:val="left"/>
        <w:tblInd w:w="10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0"/>
        <w:gridCol w:w="1427"/>
        <w:gridCol w:w="4213"/>
      </w:tblGrid>
      <w:tr>
        <w:trPr>
          <w:trHeight w:val="1691" w:hRule="atLeast"/>
        </w:trPr>
        <w:tc>
          <w:tcPr>
            <w:tcW w:w="9640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ITALY</w:t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Establish central registers of company beneficial ownership information and work on the legislative provisions needed to implement European directives and G20 High-Level Principles on Beneficial Ownership (BO) Transparency.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Ensure that law enforcement agencies have full and effective access to beneficial ownership information for companies and other legal entities registered within their jurisdiction.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Implement bilateral arrangements that will ensure law enforcement in one partner country has full and effective access to the beneficial ownership information of companies incorporated in the other partner country.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Having adopted their beneficial ownership national action plan, will take further steps to ensure transparency of the ownership and control of all companies involved in property purchase and public contracting.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Italy welcomes the establishment of transparent central registers of foreign companies bidding on public contracts and buying property, and intends to explore options for taking similar action.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Join the pilot initiative for automatic exchange of beneficial information.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Italy, having completed its NRA (National Risk Assessment) under the new recommendations of the FATF-GAFI, with the aim to identify, analyse and assess the threats of money laundering and financing of terrorism, commits to deploying public-private information sharing partnerships to bring together governments, law enforcement, regulators and the financial sector to detect, prevent and disrupt money laundering linked to corruption.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Cooperate in sharing information between respective public-private partnerships to ensure the most effective response to international money laundering.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Continue to contribute to capacity building programs and law enforcement activities also oriented to promote UNCAC, and commits to strengthen  their asset recovery legislation, including through non-conviction based confiscation powers and the introduction of unexplained wealth orders.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Italy, also on the base of the experience gained by the National Agency on Asset recovery, commits to developing internationally-endorsed guidelines for the transparent and accountable management of returned stolen assets.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Develop common principles governing the payment of compensation to the countries affected, to ensure that such payments are made safely, fairly and in a transparent manner.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LibreOffice/5.1.6.2$Windows_x86 LibreOffice_project/07ac168c60a517dba0f0d7bc7540f5afa45f0909</Application>
  <Pages>3</Pages>
  <Words>325</Words>
  <Characters>2082</Characters>
  <CharactersWithSpaces>2393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2017-01-10T14:47:30Z</dcterms:created>
  <dc:creator/>
  <dc:description/>
  <dc:language>en-GB</dc:language>
  <cp:lastModifiedBy/>
  <dcterms:modified xsi:type="dcterms:W3CDTF">2017-01-10T14:51:26Z</dcterms:modified>
  <cp:revision>2</cp:revision>
  <dc:subject/>
  <dc:title/>
</cp:coreProperties>
</file>