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691"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JAPAN</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Ensure that law enforcement agencies have access to beneficial ownership information for companies and other legal entities registered within their jurisdiction.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Implement bilateral arrangements that will ensure law enforcement in one partner country has access to the beneficial ownership information of companies incorporated in the other partner country.</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Annually conduct a national risk assessment by analysing and assessing various kind of customers, products and services including legal persons and trusts, based on their specific risk, risk mitigating measures, situation of suspicious transaction reports and cleared cases of money laundering, and making publicly available its result to be shared with competent authorities, financial institutions and such.</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Ensure that financial institutions as well as designated non-financial businesses and professions are obliged to verify the natural person as a beneficial owner of a legal person or a legal arrangement and to keep such information adequate, accurate and up-to-date.</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Prevent the transfer of criminal proceeds including those derived from corruption through the implementation of the Act on Prevention of Transfer of Criminal Proceeds which imposes obligations such as the verification of customer identification data at the time of transactions, preparation and preservation of verification and transaction records, and reporting of suspicious transactions on specified business operators.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Ensure that domestic legislation allows for swift identification, tracing, confiscation, and return of assets following execution of a confiscation judgement issued by another jurisdiction.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Promote regional interagency asset recovery networks for efficient asset recovery.</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Support capacity building in areas such as criminal justice response to corruption including investigation, prosecution, Mutual Legal Assistance and asset recovery.</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2</Pages>
  <Words>261</Words>
  <Characters>1670</Characters>
  <CharactersWithSpaces>1919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2017-01-10T14:55:11Z</dcterms:created>
  <dc:creator/>
  <dc:description/>
  <dc:language>en-GB</dc:language>
  <cp:lastModifiedBy/>
  <dcterms:modified xsi:type="dcterms:W3CDTF">2017-01-10T14:57:05Z</dcterms:modified>
  <cp:revision>2</cp:revision>
  <dc:subject/>
  <dc:title/>
</cp:coreProperties>
</file>