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20" w:type="dxa"/>
        <w:jc w:val="left"/>
        <w:tblInd w:w="214" w:type="dxa"/>
        <w:tblCellMar>
          <w:top w:w="0" w:type="dxa"/>
          <w:left w:w="103" w:type="dxa"/>
          <w:bottom w:w="0" w:type="dxa"/>
          <w:right w:w="108" w:type="dxa"/>
        </w:tblCellMar>
        <w:tblLook w:firstRow="1" w:noVBand="1" w:lastRow="0" w:firstColumn="1" w:lastColumn="0" w:noHBand="0" w:val="04a0"/>
      </w:tblPr>
      <w:tblGrid>
        <w:gridCol w:w="3893"/>
        <w:gridCol w:w="1427"/>
        <w:gridCol w:w="4200"/>
      </w:tblGrid>
      <w:tr>
        <w:trPr>
          <w:trHeight w:val="1691" w:hRule="atLeast"/>
        </w:trPr>
        <w:tc>
          <w:tcPr>
            <w:tcW w:w="9520"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NIGERIA</w:t>
            </w:r>
          </w:p>
        </w:tc>
      </w:tr>
      <w:tr>
        <w:trPr/>
        <w:tc>
          <w:tcPr>
            <w:tcW w:w="3893"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00"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a public central register of company beneficial ownership information.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Implement bilateral arrangements that will ensure law enforcement in one parter country has full and effective access to the beneficial ownership information of companies incorporated in the other partner country. </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Welcome the proposal from countries to restrict the ability of those involved in grant corruption to travel, invest and do business overseas. (We suggest that this could be activated where there is a convinction, public information of the involvement in grand corruption and where it is in the public interest to impose those restrictions).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Join the pilot initiative for automatic exchange of beneficial information.    </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Deploy public-private information sharing partnerships to bring together governements, law enforcement, regulators and the financial sector to detect, prevent and disrupt money laundering linked to corruption. (Within the financial sector, such a partnership exists and brings together the Chief Compliance Officers of Banks, law  enforcement and security agencies).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together with interested countries to share information between respective public-private partnerships to ensure the most effective response to international money laundering.</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Strengthen our asset recovery legislation, including through non-conviction based confiscation powers and the introduction of unexplained wealth orders. (Nigeria has limited powers under the Independent Corrupt Practices Commission Act, 2000 and the Economic and Financial Crimes Commission Act, 2004 to recover stolen assets. In order to improve on the current legal procedures and ease asset recovery procedures, Nigeria has drafted the Proceeds of Crime Bill. The Proceeds of Crime Bill will provide for the transparent management of returned assets and non-conviction based approach to asset recovery.)</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Develop international endorsed guidelines for the </w:t>
            </w:r>
            <w:r>
              <w:rPr>
                <w:rFonts w:cs="Arial" w:ascii="Arial" w:hAnsi="Arial"/>
              </w:rPr>
              <w:t>transparent</w:t>
            </w:r>
            <w:r>
              <w:rPr>
                <w:rFonts w:cs="Arial" w:ascii="Arial" w:hAnsi="Arial"/>
              </w:rPr>
              <w:t xml:space="preserve"> and accountable management of returned assets.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 countries, civil</w:t>
            </w:r>
            <w:r>
              <w:rPr>
                <w:rFonts w:eastAsia="Times New Roman" w:cs="Arial" w:ascii="Arial" w:hAnsi="Arial"/>
                <w:sz w:val="30"/>
                <w:szCs w:val="30"/>
              </w:rPr>
              <w:t xml:space="preserve"> </w:t>
            </w:r>
            <w:r>
              <w:rPr>
                <w:rFonts w:cs="Arial" w:ascii="Arial" w:hAnsi="Arial"/>
              </w:rPr>
              <w:t>society and international organisations to support accelerated implementation of the voluntary provisions of the UN Convention Against Corruption (UNCAC) and we commit to the implementation of the outstanding obligations under the UNCAC.</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89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the establishment of an International Anti-Corruption Center to be managed by the National Crimes Agency, UK. We will work with the NCA in promiting this centre in the Africa region.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00"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LibreOffice/5.1.6.2$Windows_x86 LibreOffice_project/07ac168c60a517dba0f0d7bc7540f5afa45f0909</Application>
  <Pages>3</Pages>
  <Words>345</Words>
  <Characters>2130</Characters>
  <CharactersWithSpaces>2467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2017-01-10T17:34:09Z</dcterms:created>
  <dc:creator/>
  <dc:description/>
  <dc:language>en-GB</dc:language>
  <cp:lastModifiedBy/>
  <dcterms:modified xsi:type="dcterms:W3CDTF">2017-01-10T17:36:45Z</dcterms:modified>
  <cp:revision>2</cp:revision>
  <dc:subject/>
  <dc:title/>
</cp:coreProperties>
</file>