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691" w:hRule="atLeast"/>
        </w:trPr>
        <w:tc>
          <w:tcPr>
            <w:tcW w:w="9587"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NORWAY</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Exploring the establishment of public central registers of company beneficial ownership information.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Ensuring that law enforcement agencies have full and effective access to beneficial ownership information for companies and other legal entities registered within their jurisdiction.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 xml:space="preserve">Participate in international arrangements that will ensure law enforcement in one partner country has full and effective access to the beneficial ownership information of companies incorporated in the other partner country.  </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Explore the contents of the pilot initiative for automatic exchange of beneficial information and consider ways of supporting the initiative.</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Explore the possibility of deploying public-private information sharing partnerships to bring together governments, law enforcement, regulators and the financial sector to detect, prevent and disrupt money laundering linked to corruption.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Explore the possibility of sharing information between respective public-private partnerships to ensure the most effective response to international money laundering.</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Remain committed to the fight against money laundering in order to stop the proceeds of crime from entering the legal economy. A legislative committee will propose amendments in Norway’s anti money laundering legislation.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Explore the need to strengthen asset recovery legislation.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Development of internationally-endorsed guidelines for the transparent and accountable management of returned stolen assets.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Explore the possibility of developing common principles governing the payment of compensation to the countries affected, to ensure that such payments are made safely, fairly and in a transparent manner.</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with others countries, civil society, international organisations to support accelerated implementation of the voluntary provisions of the UN Convention Against Corruption.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LibreOffice/5.1.6.2$Windows_x86 LibreOffice_project/07ac168c60a517dba0f0d7bc7540f5afa45f0909</Application>
  <Pages>2</Pages>
  <Words>248</Words>
  <Characters>1632</Characters>
  <CharactersWithSpaces>1867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2017-01-10T17:36:59Z</dcterms:created>
  <dc:creator/>
  <dc:description/>
  <dc:language>en-GB</dc:language>
  <cp:lastModifiedBy/>
  <dcterms:modified xsi:type="dcterms:W3CDTF">2017-01-10T17:39:28Z</dcterms:modified>
  <cp:revision>2</cp:revision>
  <dc:subject/>
  <dc:title/>
</cp:coreProperties>
</file>