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691"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SINGAPORE</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Ensure that law enforcement agencies have timely access to beneficial ownership information for companies and other legal entities registered within their jurisdiction.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Rapidly provide international cooperation that will ensure law enforcement in one partner country has timely access to the beneficial ownership information of companies incorporated in the other partner country to facilitate investigations.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Deploy public-private information sharing partnerships to bring together governments, law enforcement, regulators and the financial sector to detect, prevent and disrupt money laundering linked to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to share information obtained through public-private partnerships with relevant countries via established channels to ensure the most effective response to international money laundering.</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We agree with the intent to establish an International Anti-Corruption Coordination Centre (IACCC). We are prepared to work with other interested parties to establish such a centre, beginning with working towards a mutually agreeable Terms of Reference (TOR). Subject to the final TOR, Singapore will participate in the IACCC as member.</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Strengthen our asset recovery collaborations with our international partners, by engaging them regularly to improve and streamline existing communication channels.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Developing publicly available resources, such as mutual legal assistance and asset recovery guides, to assist our international partners with their crafting of mutual legal assistance requests on asset recovery.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Work closely with our international partners to tackle corruption, and to ensure that all efforts are made to return illicit assets to the victims.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LibreOffice/5.1.6.2$Windows_x86 LibreOffice_project/07ac168c60a517dba0f0d7bc7540f5afa45f0909</Application>
  <Pages>2</Pages>
  <Words>232</Words>
  <Characters>1481</Characters>
  <CharactersWithSpaces>1701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2017-01-10T17:49:22Z</dcterms:created>
  <dc:creator/>
  <dc:description/>
  <dc:language>en-GB</dc:language>
  <cp:lastModifiedBy/>
  <dcterms:modified xsi:type="dcterms:W3CDTF">2017-01-10T17:52:38Z</dcterms:modified>
  <cp:revision>2</cp:revision>
  <dc:subject/>
  <dc:title/>
</cp:coreProperties>
</file>