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40" w:type="dxa"/>
        <w:jc w:val="left"/>
        <w:tblInd w:w="107" w:type="dxa"/>
        <w:tblCellMar>
          <w:top w:w="0" w:type="dxa"/>
          <w:left w:w="103" w:type="dxa"/>
          <w:bottom w:w="0" w:type="dxa"/>
          <w:right w:w="108" w:type="dxa"/>
        </w:tblCellMar>
        <w:tblLook w:firstRow="1" w:noVBand="1" w:lastRow="0" w:firstColumn="1" w:lastColumn="0" w:noHBand="0" w:val="04a0"/>
      </w:tblPr>
      <w:tblGrid>
        <w:gridCol w:w="4000"/>
        <w:gridCol w:w="1427"/>
        <w:gridCol w:w="4213"/>
      </w:tblGrid>
      <w:tr>
        <w:trPr>
          <w:trHeight w:val="1691" w:hRule="atLeast"/>
        </w:trPr>
        <w:tc>
          <w:tcPr>
            <w:tcW w:w="9640"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SPAIN</w:t>
            </w:r>
          </w:p>
        </w:tc>
      </w:tr>
      <w:tr>
        <w:trPr/>
        <w:tc>
          <w:tcPr>
            <w:tcW w:w="4000"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its commitment to achieve the highest level of transparency, currently guaranteed by the Spanish central register of company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its commitment to ensuring that financial intelligence unit, law enforcement agencies and tax agency have full and effective access to beneficial ownership information for companies and other legal entities registered in Spain.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Spanish law enforcement authorities share the beneficial ownership information available in the Spanish central database with counterparts in third countries. We call other countries to follow an equivalent commitment in terms of sharing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Welcomes the establishment of transparent central registers of foreign companies bidding on public </w:t>
            </w:r>
          </w:p>
          <w:p>
            <w:pPr>
              <w:pStyle w:val="Normal"/>
              <w:spacing w:lineRule="auto" w:line="240" w:before="283" w:after="283"/>
              <w:rPr/>
            </w:pPr>
            <w:r>
              <w:rPr>
                <w:rFonts w:cs="Arial" w:ascii="Arial" w:hAnsi="Arial"/>
              </w:rPr>
              <w:t>contracts and buying property.</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As one of the signatories of the G5 initiative, Spain is fully committed in the development of the pilot initiative for automatic exchange of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mechanisms to improve the ability to prevent and detect money laundering linked to corruption.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the process of enhancing the information flow between the financial sector and the FIU to provide law enforcement with intelligence needed to detect and disrupt money laundering linked to corruption.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Strictly enforce its asset recovery legislation, including through non-conviction based confiscation, extended confiscation and confiscation from a third party.</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Fully develop the functions for which the Asset Recovery and Management Office was created so it becomes a pillar in the fight against crime.  </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development of internationally-endorsed guidelines for the transparent and accountable management of returned stolen assets.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Participate in the Global Forum for Asset Recovery.</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Since last May 6, a central database of bank accounts is fully operational in Spain. Notwithstanding this significant improvement, Spain will continue its commitment to developing adequate tools to strengthen the ability to trace and recover stolen assets.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Welcomes the UK initiative to establish an independent International Anti-Corruption Coordination Centre (IACCC) and expresses its willingness to collaborate with this Centre, as well as the readiness of the Spanish law enforcement bodies to keep fighting grand corruption and boosting international cooperation.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others countries, civil society, international organisations to support accelerated implementation of the voluntary provisions of the UN Convention against Corruption.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 LibreOffice_project/07ac168c60a517dba0f0d7bc7540f5afa45f0909</Application>
  <Pages>3</Pages>
  <Words>358</Words>
  <Characters>2254</Characters>
  <CharactersWithSpaces>2596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2017-01-10T17:54:35Z</dcterms:created>
  <dc:creator/>
  <dc:description/>
  <dc:language>en-GB</dc:language>
  <cp:lastModifiedBy/>
  <dcterms:modified xsi:type="dcterms:W3CDTF">2017-01-10T17:57:10Z</dcterms:modified>
  <cp:revision>2</cp:revision>
  <dc:subject/>
  <dc:title/>
</cp:coreProperties>
</file>