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640" w:type="dxa"/>
        <w:jc w:val="left"/>
        <w:tblInd w:w="107" w:type="dxa"/>
        <w:tblCellMar>
          <w:top w:w="0" w:type="dxa"/>
          <w:left w:w="103" w:type="dxa"/>
          <w:bottom w:w="0" w:type="dxa"/>
          <w:right w:w="108" w:type="dxa"/>
        </w:tblCellMar>
        <w:tblLook w:firstRow="1" w:noVBand="1" w:lastRow="0" w:firstColumn="1" w:lastColumn="0" w:noHBand="0" w:val="04a0"/>
      </w:tblPr>
      <w:tblGrid>
        <w:gridCol w:w="4000"/>
        <w:gridCol w:w="1427"/>
        <w:gridCol w:w="4213"/>
      </w:tblGrid>
      <w:tr>
        <w:trPr>
          <w:trHeight w:val="1691" w:hRule="atLeast"/>
        </w:trPr>
        <w:tc>
          <w:tcPr>
            <w:tcW w:w="9640"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SRI LANKA</w:t>
            </w:r>
          </w:p>
        </w:tc>
      </w:tr>
      <w:tr>
        <w:trPr/>
        <w:tc>
          <w:tcPr>
            <w:tcW w:w="4000"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3"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While strengthening existing anti-corruption agencies, drastic changes, as may be required, will be introduced to bring our legal and administrative framework–at national and provincial levels-in line with the UN Convention against Corruption.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Actively support global efforts to address corruption at highest levels. We will partner with UN, G20, and other global leaders and institutions to make anti-corruption actions more meaningful. In this direction, we will support the establishment of an Anti-Corruption Innovation Hub and a Beneficial Ownership Register. We will consider taking legislative and administrative measures to actively participate in such endeavours.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00"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Prosecuting money laundering and Recovery of Stolen Assets is a priority. We will seek global political commitments to effectively prosecute money laundering and to make the stolen assets recovery efforts more meaningful. The role of Foreign Service in effectively facilitating asset recovery efforts will be recognized and promoted.</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1</Pages>
  <Words>146</Words>
  <Characters>902</Characters>
  <CharactersWithSpaces>1040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2017-01-10T17:57:25Z</dcterms:created>
  <dc:creator/>
  <dc:description/>
  <dc:language>en-GB</dc:language>
  <cp:lastModifiedBy/>
  <dcterms:modified xsi:type="dcterms:W3CDTF">2017-01-10T17:58:49Z</dcterms:modified>
  <cp:revision>2</cp:revision>
  <dc:subject/>
  <dc:title/>
</cp:coreProperties>
</file>