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spacing w:lineRule="auto" w:line="240" w:before="0" w:after="0"/>
              <w:rPr>
                <w:rFonts w:ascii="Arial" w:hAnsi="Arial"/>
                <w:sz w:val="64"/>
                <w:szCs w:val="64"/>
              </w:rPr>
            </w:pPr>
            <w:r>
              <w:rPr>
                <w:rFonts w:ascii="Arial" w:hAnsi="Arial"/>
                <w:color w:val="808080" w:themeColor="background1" w:themeShade="80"/>
                <w:sz w:val="64"/>
                <w:szCs w:val="64"/>
              </w:rPr>
              <w:t>TRINIDAD AND TOBAGO</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Participate in legitimate global initiatives that are focused on simplifying the gathering and collating of evidence and the building of successful cases leading to the prosecution of those who engage in corrupt acts. Trinidad and Tobago is open and committed to assisting its international partners in the fight against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towards the establishing of a registry of company beneficial ownership information.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law enforcement agencies have full and effective access to beneficial ownership information for companies and other legal entities registered within its jurisdiction.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tabs>
                <w:tab w:val="left" w:pos="1620" w:leader="none"/>
              </w:tabs>
              <w:spacing w:lineRule="auto" w:line="240" w:before="283" w:after="283"/>
              <w:rPr/>
            </w:pPr>
            <w:r>
              <w:rPr>
                <w:rFonts w:cs="Arial" w:ascii="Arial" w:hAnsi="Arial"/>
              </w:rPr>
              <w:t xml:space="preserve">Open to implementing bilateral arrangements that will ensure law enforcement in Trinidad and Tobago have full and effective access to the beneficial ownership information of companies incorporated in other countries who are willing to share </w:t>
            </w:r>
          </w:p>
          <w:p>
            <w:pPr>
              <w:pStyle w:val="Normal"/>
              <w:tabs>
                <w:tab w:val="left" w:pos="1620" w:leader="none"/>
              </w:tabs>
              <w:spacing w:lineRule="auto" w:line="240" w:before="283" w:after="283"/>
              <w:rPr/>
            </w:pPr>
            <w:r>
              <w:rPr>
                <w:rFonts w:cs="Arial" w:ascii="Arial" w:hAnsi="Arial"/>
              </w:rPr>
              <w:t>such information with us.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Prepared to provide full and effective access to the beneficial ownership information of companies incorporated in Trinidad and Tobago to other partner countries.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on the improvement of our Civil Asset Forfeiture legislation.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Consider specific legislation to deal with unexplained wealth.</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Willingness to cooperate with partner countries to simplify the sharing of information between respective public-private partnerships and to create an environment that ensures the most effective response to international money laundering.</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ways of sharing information on those who have engaged in corruption across borders.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together with our international partners to enforce confiscation orders across borders. We support global and regional asset recovery networks being developed to obtain legal and investigative assistance in tracing and freezing the proceeds of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Supports sending clear signals to the corrupt that they will face consequences internationally and we encourage making it harder for them to travel and do business in other countries, including, but not limited to, the purchase of assets in other countries.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Welcomes the proposal of an International Anti-Corruption Law Enforcement Coordination Centre.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3</Pages>
  <Words>305</Words>
  <Characters>1851</Characters>
  <CharactersWithSpaces>2140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2017-01-10T18:03:15Z</dcterms:created>
  <dc:creator/>
  <dc:description/>
  <dc:language>en-GB</dc:language>
  <cp:lastModifiedBy/>
  <dcterms:modified xsi:type="dcterms:W3CDTF">2017-01-10T18:04:36Z</dcterms:modified>
  <cp:revision>2</cp:revision>
  <dc:subject/>
  <dc:title/>
</cp:coreProperties>
</file>