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080"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TUNISIA</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Support the potential United Kingdom announcement of the intention to create a register of foreign company beneficial ownership information bidding for contracts or purchasing property.</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Set up appropriate anti-corruption and money laundering information sharing mechanisms.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Tunisia has developed an appropriate legal framework to facilitate domestic asset recovery, e.g. through the introduction of new powers that enable asset recovery without the need to first convict the suspect and, where appropriate, through the reversal of the burden of proof. Nowadays, this bill of law is under public consultation.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tabs>
                <w:tab w:val="left" w:pos="1620" w:leader="none"/>
              </w:tabs>
              <w:spacing w:lineRule="auto" w:line="240" w:before="283" w:after="283"/>
              <w:rPr/>
            </w:pPr>
            <w:r>
              <w:rPr>
                <w:rFonts w:cs="Arial" w:ascii="Arial" w:hAnsi="Arial"/>
              </w:rPr>
              <w:t>Welcome the proposed establishment of a Global Forum for Asset Recovery (GFAR).</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As Chair of the Arab Anti-Corruption and Integrity Network (ACINET), commit to working to involve all the Arab States to participate in the Global Forum for Asset Recovery (GFAR) in 2017</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Improve domestic asset recovery legislation.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Call on the international community to effective cooperation to help developing countries recovery of the stolen assets.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Welcome the initiative to launch a new Code of practice for recovering stolen assets aiming to develop an internationally accepted process for recovered assets to be returned to developing countries through transparent processes that provide clear evidence of the funds are not at risk of being re-corrupted.</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Overcome difficulties and obstacles regarding asset recovery and encourage conciliation and non-litigation processes (mediation, arbitration...).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Encourage setting up special programs with international institutions for countries in economic and political transition (incentives and technical assistance).</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236</Words>
  <Characters>1459</Characters>
  <CharactersWithSpaces>1681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2017-01-10T18:05:01Z</dcterms:created>
  <dc:creator/>
  <dc:description/>
  <dc:language>en-GB</dc:language>
  <cp:lastModifiedBy/>
  <dcterms:modified xsi:type="dcterms:W3CDTF">2017-01-10T18:06:55Z</dcterms:modified>
  <cp:revision>2</cp:revision>
  <dc:subject/>
  <dc:title/>
</cp:coreProperties>
</file>