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87" w:type="dxa"/>
        <w:jc w:val="left"/>
        <w:tblInd w:w="16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7"/>
        <w:gridCol w:w="1426"/>
        <w:gridCol w:w="4214"/>
      </w:tblGrid>
      <w:tr>
        <w:trPr>
          <w:trHeight w:val="1413" w:hRule="atLeast"/>
        </w:trPr>
        <w:tc>
          <w:tcPr>
            <w:tcW w:w="9587" w:type="dxa"/>
            <w:gridSpan w:val="3"/>
            <w:tcBorders>
              <w:top w:val="nil"/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pageBreakBefore/>
              <w:spacing w:lineRule="auto" w:line="240" w:before="0" w:after="0"/>
              <w:rPr>
                <w:rFonts w:ascii="Arial" w:hAnsi="Arial"/>
                <w:sz w:val="64"/>
                <w:szCs w:val="64"/>
              </w:rPr>
            </w:pPr>
            <w:r>
              <w:rPr>
                <w:rFonts w:ascii="Arial" w:hAnsi="Arial"/>
                <w:color w:val="808080" w:themeColor="background1" w:themeShade="80"/>
                <w:sz w:val="64"/>
                <w:szCs w:val="64"/>
              </w:rPr>
              <w:t>UNITED KINGDOM</w:t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COMMITMENTS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PROGRESS</w:t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The UK’s public central register of company beneficial ownership information for all companies incorporated in the UK will be launched in June 2016.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Establish a public register of company beneficial ownership information for foreign companies who already own or buy property in the UK, or who bid on UK central government contracts.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Work with other countries to share information between respective public-private partnerships through law enforcement and other channels to ensure the most effective response to international money-laundering.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Support the Egmont Group to establish a Centre of Excellence for Financial Intelligence Units to strengthen the technical capacities of these bodies and their leadership role.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Will work with others to establish an International Anti-Corruption Coordination Centre and will provide people and resources to support it.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Consult on stronger asset recovery legislation, including non-conviction based confiscation powers and the introduction of unexplained wealth orders.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Endorse the guidelines for the transparent and accountable management of returned stolen assets, and common principles governing the payment of compensation to the countries affected.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Work with others to establish a Global Forum for Asset Recovery and will provide resources to support it. We will co-host the inaugural meeting of the Global Forum with the United States of America in 2017, focusing on Nigeria, Ukraine, Tunisia and Sri Lanka.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Work with other countries, civil society, and international organisations to accelerate the implementation of the voluntary provisions of the UN Convention Against Corruption.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LibreOffice/5.1.6.2$Windows_x86 LibreOffice_project/07ac168c60a517dba0f0d7bc7540f5afa45f0909</Application>
  <Pages>2</Pages>
  <Words>239</Words>
  <Characters>1436</Characters>
  <CharactersWithSpaces>1662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2017-01-10T18:16:38Z</dcterms:created>
  <dc:creator/>
  <dc:description/>
  <dc:language>en-GB</dc:language>
  <cp:lastModifiedBy/>
  <dcterms:modified xsi:type="dcterms:W3CDTF">2017-01-10T18:18:53Z</dcterms:modified>
  <cp:revision>2</cp:revision>
  <dc:subject/>
  <dc:title/>
</cp:coreProperties>
</file>